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96" w:rsidRPr="00C4523D" w:rsidRDefault="00942696" w:rsidP="00942696">
      <w:pPr>
        <w:pStyle w:val="2"/>
        <w:ind w:left="0" w:firstLine="0"/>
        <w:jc w:val="right"/>
        <w:rPr>
          <w:i w:val="0"/>
          <w:sz w:val="20"/>
        </w:rPr>
      </w:pPr>
      <w:bookmarkStart w:id="0" w:name="_Toc64041286"/>
      <w:r w:rsidRPr="00C4523D">
        <w:rPr>
          <w:i w:val="0"/>
          <w:sz w:val="20"/>
        </w:rPr>
        <w:t>Приложение 16</w:t>
      </w:r>
      <w:bookmarkEnd w:id="0"/>
      <w:r w:rsidRPr="00C4523D">
        <w:rPr>
          <w:i w:val="0"/>
          <w:sz w:val="20"/>
        </w:rPr>
        <w:t xml:space="preserve"> </w:t>
      </w:r>
    </w:p>
    <w:p w:rsidR="00942696" w:rsidRPr="00C4523D" w:rsidRDefault="00942696" w:rsidP="00942696">
      <w:pPr>
        <w:spacing w:line="240" w:lineRule="atLeast"/>
        <w:ind w:left="4956" w:firstLine="708"/>
        <w:jc w:val="both"/>
        <w:rPr>
          <w:i/>
          <w:iCs/>
        </w:rPr>
      </w:pPr>
    </w:p>
    <w:p w:rsidR="00942696" w:rsidRPr="00C4523D" w:rsidRDefault="00942696" w:rsidP="00942696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lang w:eastAsia="en-US"/>
        </w:rPr>
        <w:t>ОПРОСНИК ИНОСТРАННОЙ СТРУКТУРЫ БЕЗ ОБРАЗОВАНИЯ ЮРИДИЧЕСКОГО ЛИЦА (ИСБОЮЛ), ПРИНИМАЕМОГО/НАХОДЯЩЕГОСЯ НА ОБСЛУЖИВАНИЕ/И В ООО КБ «АЛЬБА АЛЬЯНС»</w:t>
      </w:r>
    </w:p>
    <w:p w:rsidR="00942696" w:rsidRPr="00C4523D" w:rsidRDefault="00942696" w:rsidP="00942696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Полное наименование и адрес местонахождения ____________________________________________________________________________________________________________________________________________________________________</w:t>
      </w:r>
    </w:p>
    <w:p w:rsidR="00942696" w:rsidRPr="00C4523D" w:rsidRDefault="00942696" w:rsidP="00942696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Действует ли </w:t>
      </w: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Ваша</w:t>
      </w:r>
      <w:proofErr w:type="gramEnd"/>
      <w:r w:rsidRPr="00C4523D">
        <w:rPr>
          <w:rFonts w:eastAsia="Calibri"/>
          <w:b/>
          <w:sz w:val="22"/>
          <w:szCs w:val="22"/>
          <w:lang w:eastAsia="en-US"/>
        </w:rPr>
        <w:t xml:space="preserve"> ИСБОЮЛ к выгоде третьих лиц, 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 </w:t>
      </w:r>
    </w:p>
    <w:p w:rsidR="00942696" w:rsidRPr="00C4523D" w:rsidRDefault="00942696" w:rsidP="00942696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42696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42696" w:rsidRPr="00C4523D" w:rsidRDefault="00942696" w:rsidP="00942696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этих лиц и заполните на них информацию согласно Анкете, укажите сведения об основаниях, свидетельствующих о том, что Ваша ИСБОЮЛ действует к выгоде третьих лиц и предоставьте оригиналы документов и (или) надлежащим образом заверенные копии, подтверждающие достоверность указанных Вами сведений.</w:t>
      </w:r>
    </w:p>
    <w:p w:rsidR="00942696" w:rsidRPr="00C4523D" w:rsidRDefault="00942696" w:rsidP="00942696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Является ли Ваша ИСБОЮЛ, представители, выгодоприобретатели, </w:t>
      </w:r>
      <w:proofErr w:type="spellStart"/>
      <w:r w:rsidRPr="00C4523D">
        <w:rPr>
          <w:rFonts w:eastAsia="Calibri"/>
          <w:b/>
          <w:sz w:val="22"/>
          <w:szCs w:val="22"/>
          <w:lang w:eastAsia="en-US"/>
        </w:rPr>
        <w:t>бенефициарные</w:t>
      </w:r>
      <w:proofErr w:type="spellEnd"/>
      <w:r w:rsidRPr="00C4523D">
        <w:rPr>
          <w:rFonts w:eastAsia="Calibri"/>
          <w:b/>
          <w:sz w:val="22"/>
          <w:szCs w:val="22"/>
          <w:lang w:eastAsia="en-US"/>
        </w:rPr>
        <w:t xml:space="preserve"> владельцы или участники ИСБОЮЛ руководителем или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</w:t>
      </w: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осуществляющих</w:t>
      </w:r>
      <w:proofErr w:type="gramEnd"/>
      <w:r w:rsidRPr="00C4523D">
        <w:rPr>
          <w:rFonts w:eastAsia="Calibri"/>
          <w:b/>
          <w:sz w:val="22"/>
          <w:szCs w:val="22"/>
          <w:lang w:eastAsia="en-US"/>
        </w:rPr>
        <w:t xml:space="preserve"> свою деятельность на территории Российской Федерации?</w:t>
      </w:r>
    </w:p>
    <w:p w:rsidR="00942696" w:rsidRPr="00C4523D" w:rsidRDefault="00942696" w:rsidP="00942696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42696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42696" w:rsidRPr="00C4523D" w:rsidRDefault="00942696" w:rsidP="00942696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ФИО указанного лица,  его/Вашей ИСБОЮЛ  статус и наименование организации и предоставьте оригиналы документов и (или) надлежащим образом заверенные копии, подтверждающие достоверность указанных Вами сведений.</w:t>
      </w:r>
    </w:p>
    <w:p w:rsidR="00942696" w:rsidRPr="00C4523D" w:rsidRDefault="00942696" w:rsidP="00942696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Имеет ли </w:t>
      </w:r>
      <w:proofErr w:type="spellStart"/>
      <w:r w:rsidRPr="00C4523D">
        <w:rPr>
          <w:rFonts w:eastAsia="Calibri"/>
          <w:b/>
          <w:sz w:val="22"/>
          <w:szCs w:val="22"/>
          <w:lang w:eastAsia="en-US"/>
        </w:rPr>
        <w:t>бенефициарный</w:t>
      </w:r>
      <w:proofErr w:type="spellEnd"/>
      <w:r w:rsidRPr="00C4523D">
        <w:rPr>
          <w:rFonts w:eastAsia="Calibri"/>
          <w:b/>
          <w:sz w:val="22"/>
          <w:szCs w:val="22"/>
          <w:lang w:eastAsia="en-US"/>
        </w:rPr>
        <w:t xml:space="preserve"> владелец статус иностранного публичного должностного лица, должностного лица публичной международной организации, российского публичного должностного лица **, указанного в статье 7.3 Закона № 115-ФЗ.</w:t>
      </w:r>
    </w:p>
    <w:p w:rsidR="00942696" w:rsidRPr="00C4523D" w:rsidRDefault="00942696" w:rsidP="00942696">
      <w:pPr>
        <w:spacing w:after="200" w:line="276" w:lineRule="auto"/>
        <w:ind w:left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42696" w:rsidRPr="00C4523D" w:rsidTr="008A27D7">
        <w:trPr>
          <w:trHeight w:val="404"/>
        </w:trPr>
        <w:tc>
          <w:tcPr>
            <w:tcW w:w="9311" w:type="dxa"/>
            <w:shd w:val="clear" w:color="auto" w:fill="auto"/>
          </w:tcPr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42696" w:rsidRPr="00C4523D" w:rsidRDefault="00942696" w:rsidP="00942696">
      <w:pPr>
        <w:spacing w:after="200" w:line="276" w:lineRule="auto"/>
        <w:ind w:left="142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должность, наименование и адрес  работодателя.</w:t>
      </w:r>
    </w:p>
    <w:p w:rsidR="00942696" w:rsidRPr="00C4523D" w:rsidRDefault="00942696" w:rsidP="00942696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lastRenderedPageBreak/>
        <w:t>п.1. ст.7.3. Федерального закона от 07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  <w:p w:rsidR="00942696" w:rsidRPr="00C4523D" w:rsidRDefault="00942696" w:rsidP="00942696">
      <w:pPr>
        <w:autoSpaceDE w:val="0"/>
        <w:autoSpaceDN w:val="0"/>
        <w:adjustRightInd w:val="0"/>
        <w:spacing w:before="220"/>
        <w:ind w:firstLine="540"/>
        <w:jc w:val="both"/>
        <w:rPr>
          <w:b/>
          <w:bCs/>
          <w:i/>
          <w:sz w:val="22"/>
          <w:szCs w:val="22"/>
        </w:rPr>
      </w:pPr>
      <w:proofErr w:type="gramStart"/>
      <w:r w:rsidRPr="00C4523D">
        <w:rPr>
          <w:b/>
          <w:bCs/>
          <w:i/>
          <w:sz w:val="22"/>
          <w:szCs w:val="22"/>
        </w:rPr>
        <w:t>**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  <w:proofErr w:type="gramEnd"/>
    </w:p>
    <w:p w:rsidR="00942696" w:rsidRPr="00C4523D" w:rsidRDefault="00942696" w:rsidP="00942696">
      <w:pPr>
        <w:autoSpaceDE w:val="0"/>
        <w:autoSpaceDN w:val="0"/>
        <w:adjustRightInd w:val="0"/>
        <w:spacing w:before="220"/>
        <w:ind w:firstLine="540"/>
        <w:jc w:val="both"/>
        <w:rPr>
          <w:b/>
          <w:bCs/>
          <w:i/>
          <w:sz w:val="22"/>
          <w:szCs w:val="22"/>
        </w:rPr>
      </w:pPr>
    </w:p>
    <w:p w:rsidR="00942696" w:rsidRPr="00C4523D" w:rsidRDefault="00942696" w:rsidP="00942696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целях установления и предполагаемом характере деловых отношений Вашей ИСБОЮЛ с ООО КБ «Альба Альянс»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42696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42696" w:rsidRPr="00C4523D" w:rsidRDefault="00942696" w:rsidP="00942696">
      <w:pPr>
        <w:spacing w:after="200" w:line="276" w:lineRule="auto"/>
        <w:ind w:left="720"/>
        <w:jc w:val="both"/>
        <w:rPr>
          <w:rFonts w:eastAsia="Calibri"/>
          <w:bCs/>
          <w:i/>
          <w:sz w:val="12"/>
          <w:szCs w:val="12"/>
          <w:lang w:eastAsia="en-US"/>
        </w:rPr>
      </w:pPr>
    </w:p>
    <w:p w:rsidR="00942696" w:rsidRPr="00C4523D" w:rsidRDefault="00942696" w:rsidP="0094269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целях финансово-хозяйственной деятельности Вашей ИСБОЮЛ.*</w:t>
      </w:r>
    </w:p>
    <w:p w:rsidR="00942696" w:rsidRPr="00C4523D" w:rsidRDefault="00942696" w:rsidP="00942696">
      <w:pPr>
        <w:ind w:left="502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42696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42696" w:rsidRPr="00C4523D" w:rsidRDefault="00942696" w:rsidP="00942696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i/>
          <w:sz w:val="20"/>
          <w:szCs w:val="20"/>
          <w:lang w:eastAsia="en-US"/>
        </w:rPr>
        <w:t>* Сведения о планируемых операциях по счету в течение определенного периода (за неделю, месяц, квартал, год): количество операций, сумма операций, включая операции по снятию денежных средств в наличной форме и операции, связанные с переводами денежных сре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дств в р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амках внешнеторговой деятельности; и (или) виды договоров (контрактов), расчеты по которым Ваша ИСБОЮЛ собирается осуществлять через ООО КБ «Альба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Альянс»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;и</w:t>
      </w:r>
      <w:proofErr w:type="spellEnd"/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(или) основные контрагенты Вашей ИСБОЮЛ, планируемые плательщики и получатели по операциям с денежными средствами, находящимися на счете.</w:t>
      </w:r>
    </w:p>
    <w:p w:rsidR="00942696" w:rsidRPr="00C4523D" w:rsidRDefault="00942696" w:rsidP="00942696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Информация о наличии расчетных счетов, открытых в других кредитных организациях (с указанием наименования кредитной организации, номера расчетного счета, даты его открытия), либо их отсутствии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942696" w:rsidRPr="00C4523D" w:rsidTr="008A27D7">
        <w:trPr>
          <w:trHeight w:val="500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42696" w:rsidRPr="00C4523D" w:rsidRDefault="00942696" w:rsidP="00942696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942696" w:rsidRPr="00C4523D" w:rsidRDefault="00942696" w:rsidP="00942696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942696" w:rsidRPr="00C4523D" w:rsidRDefault="00942696" w:rsidP="00942696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Сведения (документы) о финансовом положении </w:t>
      </w: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Вашей</w:t>
      </w:r>
      <w:proofErr w:type="gramEnd"/>
      <w:r w:rsidRPr="00C4523D">
        <w:rPr>
          <w:rFonts w:eastAsia="Calibri"/>
          <w:b/>
          <w:sz w:val="22"/>
          <w:szCs w:val="22"/>
          <w:lang w:eastAsia="en-US"/>
        </w:rPr>
        <w:t xml:space="preserve"> ИСБОЮЛ.**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942696" w:rsidRPr="00C4523D" w:rsidTr="008A27D7">
        <w:trPr>
          <w:trHeight w:val="500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42696" w:rsidRPr="00C4523D" w:rsidRDefault="00942696" w:rsidP="00942696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C4523D">
        <w:rPr>
          <w:rFonts w:eastAsia="Calibri"/>
          <w:i/>
          <w:sz w:val="20"/>
          <w:szCs w:val="20"/>
          <w:lang w:eastAsia="en-US"/>
        </w:rPr>
        <w:t xml:space="preserve">**-копии годовой бухгалтерской отчетности (бухгалтерский баланс, отчет о финансовом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результате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,и</w:t>
      </w:r>
      <w:proofErr w:type="spellEnd"/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</w:t>
      </w:r>
      <w:r w:rsidRPr="00C4523D">
        <w:rPr>
          <w:rFonts w:eastAsia="Calibri"/>
          <w:i/>
          <w:sz w:val="20"/>
          <w:szCs w:val="20"/>
          <w:lang w:eastAsia="en-US"/>
        </w:rPr>
        <w:lastRenderedPageBreak/>
        <w:t xml:space="preserve">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органом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;и</w:t>
      </w:r>
      <w:proofErr w:type="spellEnd"/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(или) сведения об отсутствии в отношении иностранной структуры без образования юридического лица производства по делу о несостоятельности (банкротстве), вступивших в силу решений судебных органов о признании ее несостоятельной (банкротом), проведения процедур ликвидации по состоянию на дату представления документов в кредитную организацию; и (или) сведения об отсутствии фактов неисполнения иностранной структурой без образования юридического лица своих денежных обязательств по причине отсутствия денежных средств на банковских счетах; и (или) данные о рейтинге иностранной структуры без образования юридического лица, размещенные в сети "Интернет" на сайтах международных рейтинговых агентств ("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Standard&amp;Poor's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", 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Fitch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Ratings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", 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Moody'sInvestorsService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 и другие) и российских кредитных рейтинговых агентств; либо документы (сведения), подтверждающие отсутствие оснований для уплаты налогов;</w:t>
      </w:r>
    </w:p>
    <w:p w:rsidR="00942696" w:rsidRPr="00C4523D" w:rsidRDefault="00942696" w:rsidP="00942696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C4523D">
        <w:rPr>
          <w:rFonts w:eastAsia="Calibri"/>
          <w:i/>
          <w:sz w:val="20"/>
          <w:szCs w:val="20"/>
          <w:lang w:eastAsia="en-US"/>
        </w:rPr>
        <w:tab/>
        <w:t>-</w:t>
      </w:r>
      <w:r w:rsidRPr="00C4523D">
        <w:rPr>
          <w:rFonts w:eastAsia="Calibri"/>
          <w:i/>
          <w:sz w:val="20"/>
          <w:szCs w:val="20"/>
          <w:lang w:eastAsia="en-US"/>
        </w:rPr>
        <w:tab/>
        <w:t xml:space="preserve">в том случае если, в силу объективных причин, 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предоставить какие-либо документы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из вышеуказанных документов не представляется возможным, то предоставляются аналоги указанных документов либо иные документы, которые подтверждают финансовое положение иностранной структуры без образования юридического лица. </w:t>
      </w:r>
    </w:p>
    <w:p w:rsidR="00942696" w:rsidRPr="00C4523D" w:rsidRDefault="00942696" w:rsidP="00942696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деловой репутации Вашей ИСБОЮЛ.***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42696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942696" w:rsidRPr="00C4523D" w:rsidRDefault="00942696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42696" w:rsidRPr="00C4523D" w:rsidRDefault="00942696" w:rsidP="00942696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*** - отзывы (в произвольной письменной форме) о Вашей ИСБОЮЛ других клиентов ООО КБ «Альба Альянс», имеющих с Вашей ИСБОЮЛ деловые отношения; и (или) отзывы (в произвольной письменной форме) от других кредитных организаций, в которых Ваша ИСБОЮЛ ранее находилась или находится на обслуживании, с информацией этих кредитных организаций об оценке деловой репутации Вашей ИСБОЮЛ.</w:t>
      </w:r>
      <w:proofErr w:type="gramEnd"/>
    </w:p>
    <w:p w:rsidR="00942696" w:rsidRPr="00C4523D" w:rsidRDefault="00942696" w:rsidP="00942696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942696" w:rsidRPr="00C4523D" w:rsidRDefault="00942696" w:rsidP="00942696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942696" w:rsidRPr="00C4523D" w:rsidRDefault="00942696" w:rsidP="00942696">
      <w:pPr>
        <w:rPr>
          <w:b/>
          <w:i/>
          <w:sz w:val="22"/>
          <w:szCs w:val="22"/>
        </w:rPr>
      </w:pPr>
      <w:r w:rsidRPr="00C4523D">
        <w:rPr>
          <w:b/>
          <w:i/>
          <w:sz w:val="22"/>
          <w:szCs w:val="22"/>
        </w:rPr>
        <w:t>Подпись:_____________________</w:t>
      </w:r>
    </w:p>
    <w:p w:rsidR="00942696" w:rsidRPr="00C4523D" w:rsidRDefault="00942696" w:rsidP="00942696">
      <w:pPr>
        <w:rPr>
          <w:b/>
          <w:i/>
          <w:sz w:val="22"/>
          <w:szCs w:val="22"/>
        </w:rPr>
      </w:pPr>
    </w:p>
    <w:p w:rsidR="00942696" w:rsidRPr="00C4523D" w:rsidRDefault="00942696" w:rsidP="00942696">
      <w:pPr>
        <w:rPr>
          <w:b/>
          <w:i/>
          <w:sz w:val="22"/>
          <w:szCs w:val="22"/>
        </w:rPr>
      </w:pPr>
      <w:r w:rsidRPr="00C4523D">
        <w:rPr>
          <w:b/>
          <w:i/>
          <w:sz w:val="22"/>
          <w:szCs w:val="22"/>
        </w:rPr>
        <w:t>Дата:___________________             М.П.</w:t>
      </w:r>
    </w:p>
    <w:p w:rsidR="00942696" w:rsidRPr="00C4523D" w:rsidRDefault="00942696" w:rsidP="00942696">
      <w:pPr>
        <w:rPr>
          <w:sz w:val="22"/>
          <w:szCs w:val="22"/>
        </w:rPr>
      </w:pPr>
    </w:p>
    <w:p w:rsidR="006005CD" w:rsidRDefault="006005CD">
      <w:bookmarkStart w:id="1" w:name="_GoBack"/>
      <w:bookmarkEnd w:id="1"/>
    </w:p>
    <w:sectPr w:rsidR="0060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0E9"/>
    <w:multiLevelType w:val="multilevel"/>
    <w:tmpl w:val="916AF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99102E2"/>
    <w:multiLevelType w:val="hybridMultilevel"/>
    <w:tmpl w:val="2FB2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56AED"/>
    <w:multiLevelType w:val="hybridMultilevel"/>
    <w:tmpl w:val="AB5A0E6A"/>
    <w:lvl w:ilvl="0" w:tplc="5AEC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96"/>
    <w:rsid w:val="0030220A"/>
    <w:rsid w:val="0047500D"/>
    <w:rsid w:val="006005CD"/>
    <w:rsid w:val="0094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696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942696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42696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42696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2696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942696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942696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942696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942696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942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2696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42696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942696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942696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94269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269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942696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696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942696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42696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42696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2696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942696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942696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942696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942696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942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2696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42696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942696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942696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94269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269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942696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elemeshinae</dc:creator>
  <cp:lastModifiedBy>elemeshinae</cp:lastModifiedBy>
  <cp:revision>1</cp:revision>
  <dcterms:created xsi:type="dcterms:W3CDTF">2021-02-12T13:59:00Z</dcterms:created>
  <dcterms:modified xsi:type="dcterms:W3CDTF">2021-02-12T13:59:00Z</dcterms:modified>
</cp:coreProperties>
</file>